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4D" w:rsidRDefault="001E024D" w:rsidP="001E024D">
      <w:pPr>
        <w:ind w:left="360"/>
      </w:pPr>
    </w:p>
    <w:p w:rsidR="001E024D" w:rsidRDefault="001E024D" w:rsidP="001E024D">
      <w:pPr>
        <w:ind w:left="360"/>
      </w:pPr>
    </w:p>
    <w:p w:rsidR="001E024D" w:rsidRDefault="001E024D" w:rsidP="001E024D">
      <w:pPr>
        <w:pStyle w:val="Default"/>
        <w:tabs>
          <w:tab w:val="left" w:pos="8190"/>
        </w:tabs>
        <w:ind w:left="4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5, California Code of Regulations</w:t>
      </w:r>
    </w:p>
    <w:p w:rsidR="001E024D" w:rsidRPr="00042CC2" w:rsidRDefault="001E024D" w:rsidP="001E024D">
      <w:pPr>
        <w:ind w:left="450"/>
        <w:jc w:val="center"/>
        <w:rPr>
          <w:b/>
        </w:rPr>
      </w:pPr>
      <w:r w:rsidRPr="00042CC2">
        <w:rPr>
          <w:b/>
        </w:rPr>
        <w:t>Division 5</w:t>
      </w:r>
      <w:r w:rsidRPr="003D04A2">
        <w:rPr>
          <w:b/>
          <w:bCs/>
        </w:rPr>
        <w:t xml:space="preserve"> – </w:t>
      </w:r>
      <w:r w:rsidRPr="00042CC2">
        <w:rPr>
          <w:b/>
        </w:rPr>
        <w:t>Board of Trustees of the California State Universities</w:t>
      </w:r>
    </w:p>
    <w:p w:rsidR="001E024D" w:rsidRPr="00945927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</w:rPr>
      </w:pPr>
      <w:r w:rsidRPr="00945927">
        <w:rPr>
          <w:rFonts w:ascii="Times New Roman" w:hAnsi="Times New Roman" w:cs="Times New Roman"/>
          <w:b/>
          <w:bCs/>
        </w:rPr>
        <w:t>Chapter 1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945927">
        <w:rPr>
          <w:rFonts w:ascii="Times New Roman" w:hAnsi="Times New Roman" w:cs="Times New Roman"/>
          <w:b/>
          <w:bCs/>
        </w:rPr>
        <w:t xml:space="preserve">California State University </w:t>
      </w:r>
    </w:p>
    <w:p w:rsidR="001E024D" w:rsidRPr="00945927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</w:rPr>
      </w:pPr>
      <w:r w:rsidRPr="00945927">
        <w:rPr>
          <w:rFonts w:ascii="Times New Roman" w:hAnsi="Times New Roman" w:cs="Times New Roman"/>
          <w:b/>
          <w:bCs/>
        </w:rPr>
        <w:t>Sub</w:t>
      </w:r>
      <w:r>
        <w:rPr>
          <w:rFonts w:ascii="Times New Roman" w:hAnsi="Times New Roman" w:cs="Times New Roman"/>
          <w:b/>
          <w:bCs/>
        </w:rPr>
        <w:t>chapter 2 – Educational Program</w:t>
      </w:r>
    </w:p>
    <w:p w:rsidR="001E024D" w:rsidRPr="00945927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  <w:b/>
          <w:bCs/>
          <w:strike/>
        </w:rPr>
      </w:pPr>
      <w:r w:rsidRPr="00945927">
        <w:rPr>
          <w:rFonts w:ascii="Times New Roman" w:hAnsi="Times New Roman" w:cs="Times New Roman"/>
          <w:b/>
          <w:bCs/>
          <w:strike/>
        </w:rPr>
        <w:t xml:space="preserve">Article 9 – Lower-Division Transfer Patterns by Major </w:t>
      </w:r>
    </w:p>
    <w:p w:rsidR="001E024D" w:rsidRPr="001B6FBF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  <w:strike/>
        </w:rPr>
      </w:pPr>
      <w:r w:rsidRPr="001B6FBF">
        <w:rPr>
          <w:rFonts w:ascii="Times New Roman" w:hAnsi="Times New Roman" w:cs="Times New Roman"/>
          <w:b/>
          <w:strike/>
        </w:rPr>
        <w:t>§ 40530. Definitions.</w:t>
      </w:r>
    </w:p>
    <w:p w:rsidR="001E024D" w:rsidRDefault="001E024D" w:rsidP="001E024D">
      <w:pPr>
        <w:shd w:val="clear" w:color="auto" w:fill="FFFFFF"/>
        <w:ind w:left="450" w:firstLine="360"/>
        <w:rPr>
          <w:strike/>
          <w:color w:val="252525"/>
        </w:rPr>
      </w:pPr>
    </w:p>
    <w:p w:rsidR="001E024D" w:rsidRPr="00945927" w:rsidRDefault="001E024D" w:rsidP="001E024D">
      <w:pPr>
        <w:shd w:val="clear" w:color="auto" w:fill="FFFFFF"/>
        <w:ind w:left="360" w:firstLine="360"/>
        <w:rPr>
          <w:strike/>
          <w:color w:val="212121"/>
        </w:rPr>
      </w:pPr>
      <w:r w:rsidRPr="00945927">
        <w:rPr>
          <w:strike/>
          <w:color w:val="212121"/>
        </w:rPr>
        <w:t xml:space="preserve"> (a) The term “systemwide lower-division transfer pattern by major” means a set of lower-division curricular specifications comprising at least 45 semester units but no more than 60 semester units that will be accepted at every CSU campus offering a program leading to that degree and major. Each unit that a student completes in the systemwide lower-division transfer pattern by major reduces by one unit the total number of units that the student must complete to earn that degree with that major. A systemwide lower-division transfer pattern by major will ordinarily include courses that fulfill General Education-Breadth or Intersegmental General Education Transfer Curriculum requirements; United States History, Constitution, and American Ideals requirements; and major-specific, lower-division requirements. A course in a systemwide lower-division transfer pattern by major may contribute to completion of more than one requirement.</w:t>
      </w:r>
    </w:p>
    <w:p w:rsidR="001E024D" w:rsidRPr="00945927" w:rsidRDefault="001E024D" w:rsidP="001E024D">
      <w:pPr>
        <w:shd w:val="clear" w:color="auto" w:fill="FFFFFF"/>
        <w:ind w:left="360" w:firstLine="360"/>
        <w:rPr>
          <w:strike/>
          <w:color w:val="212121"/>
        </w:rPr>
      </w:pPr>
      <w:r w:rsidRPr="00945927">
        <w:rPr>
          <w:strike/>
          <w:color w:val="212121"/>
        </w:rPr>
        <w:t>(b) The term “campus-specific lower-division transfer pattern by major” means a set of lower-division curricular specifications beyond the systemwide lower-division transfer pattern by major, comprising units that will be accepted at a particular CSU campus offering a program leading to that degree and major. Each unit that a student completes in the campus-specific lower-division transfer pattern by major reduces by one unit the total number of units that the student must complete to earn that degree with that major.</w:t>
      </w:r>
    </w:p>
    <w:p w:rsidR="001E024D" w:rsidRPr="00945927" w:rsidRDefault="001E024D" w:rsidP="001E024D">
      <w:pPr>
        <w:shd w:val="clear" w:color="auto" w:fill="FFFFFF"/>
        <w:ind w:left="360" w:firstLine="360"/>
        <w:rPr>
          <w:strike/>
          <w:color w:val="212121"/>
        </w:rPr>
      </w:pPr>
      <w:r w:rsidRPr="00945927">
        <w:rPr>
          <w:strike/>
          <w:color w:val="212121"/>
        </w:rPr>
        <w:t xml:space="preserve">(c) For purposes of this article, majors </w:t>
      </w:r>
      <w:proofErr w:type="gramStart"/>
      <w:r w:rsidRPr="00945927">
        <w:rPr>
          <w:strike/>
          <w:color w:val="212121"/>
        </w:rPr>
        <w:t>are distinguished</w:t>
      </w:r>
      <w:proofErr w:type="gramEnd"/>
      <w:r w:rsidRPr="00945927">
        <w:rPr>
          <w:strike/>
          <w:color w:val="212121"/>
        </w:rPr>
        <w:t xml:space="preserve"> by the CSU program code assigned to them and the degrees to which they lead.</w:t>
      </w:r>
    </w:p>
    <w:p w:rsidR="001E024D" w:rsidRPr="00945927" w:rsidRDefault="001E024D" w:rsidP="001E024D">
      <w:pPr>
        <w:shd w:val="clear" w:color="auto" w:fill="FFFFFF"/>
        <w:ind w:left="360" w:firstLine="360"/>
        <w:rPr>
          <w:strike/>
          <w:color w:val="212121"/>
        </w:rPr>
      </w:pPr>
      <w:r w:rsidRPr="00945927">
        <w:rPr>
          <w:strike/>
          <w:color w:val="212121"/>
        </w:rPr>
        <w:t xml:space="preserve">(d) For purposes of this article, a major will be considered high-priority if it meets criteria established by the Chancellor. In establishing criteria, the Chancellor shall consider (1) the number of CSU campuses at which the major </w:t>
      </w:r>
      <w:proofErr w:type="gramStart"/>
      <w:r w:rsidRPr="00945927">
        <w:rPr>
          <w:strike/>
          <w:color w:val="212121"/>
        </w:rPr>
        <w:t>is offered</w:t>
      </w:r>
      <w:proofErr w:type="gramEnd"/>
      <w:r w:rsidRPr="00945927">
        <w:rPr>
          <w:strike/>
          <w:color w:val="212121"/>
        </w:rPr>
        <w:t xml:space="preserve"> and (2) the proportion of the undergraduate student body enrolled in the major at the CSU campuses offering that major.</w:t>
      </w:r>
    </w:p>
    <w:p w:rsidR="001E024D" w:rsidRDefault="001E024D" w:rsidP="001E024D">
      <w:pPr>
        <w:shd w:val="clear" w:color="auto" w:fill="FFFFFF"/>
        <w:ind w:left="360" w:firstLine="360"/>
        <w:rPr>
          <w:strike/>
          <w:color w:val="212121"/>
        </w:rPr>
      </w:pPr>
      <w:r w:rsidRPr="00945927">
        <w:rPr>
          <w:strike/>
          <w:color w:val="212121"/>
        </w:rPr>
        <w:t xml:space="preserve">Note: Authority </w:t>
      </w:r>
      <w:proofErr w:type="gramStart"/>
      <w:r w:rsidRPr="00945927">
        <w:rPr>
          <w:strike/>
          <w:color w:val="212121"/>
        </w:rPr>
        <w:t>cited:</w:t>
      </w:r>
      <w:proofErr w:type="gramEnd"/>
      <w:r w:rsidRPr="00945927">
        <w:rPr>
          <w:strike/>
          <w:color w:val="212121"/>
        </w:rPr>
        <w:t xml:space="preserve"> Section 89030, Education Code. Reference: Section 89030, Education Code.</w:t>
      </w:r>
    </w:p>
    <w:p w:rsidR="001E024D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  <w:b/>
          <w:bCs/>
        </w:rPr>
      </w:pPr>
    </w:p>
    <w:p w:rsidR="001E024D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  <w:b/>
          <w:bCs/>
        </w:rPr>
      </w:pPr>
    </w:p>
    <w:p w:rsidR="001E024D" w:rsidRDefault="001E024D" w:rsidP="001E024D">
      <w:pPr>
        <w:pStyle w:val="Default"/>
        <w:tabs>
          <w:tab w:val="left" w:pos="8190"/>
        </w:tabs>
        <w:ind w:left="4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5, California Code of Regulations</w:t>
      </w:r>
    </w:p>
    <w:p w:rsidR="001E024D" w:rsidRPr="00042CC2" w:rsidRDefault="001E024D" w:rsidP="001E024D">
      <w:pPr>
        <w:ind w:left="450"/>
        <w:jc w:val="center"/>
        <w:rPr>
          <w:b/>
        </w:rPr>
      </w:pPr>
      <w:r w:rsidRPr="00042CC2">
        <w:rPr>
          <w:b/>
        </w:rPr>
        <w:t>Division 5</w:t>
      </w:r>
      <w:r w:rsidRPr="003D04A2">
        <w:rPr>
          <w:b/>
          <w:bCs/>
        </w:rPr>
        <w:t xml:space="preserve"> – </w:t>
      </w:r>
      <w:r w:rsidRPr="00042CC2">
        <w:rPr>
          <w:b/>
        </w:rPr>
        <w:t>Board of Trustees of the California State Universities</w:t>
      </w:r>
    </w:p>
    <w:p w:rsidR="001E024D" w:rsidRPr="00945927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</w:rPr>
      </w:pPr>
      <w:r w:rsidRPr="00945927">
        <w:rPr>
          <w:rFonts w:ascii="Times New Roman" w:hAnsi="Times New Roman" w:cs="Times New Roman"/>
          <w:b/>
          <w:bCs/>
        </w:rPr>
        <w:t>Chapter 1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945927">
        <w:rPr>
          <w:rFonts w:ascii="Times New Roman" w:hAnsi="Times New Roman" w:cs="Times New Roman"/>
          <w:b/>
          <w:bCs/>
        </w:rPr>
        <w:t xml:space="preserve">California State University </w:t>
      </w:r>
    </w:p>
    <w:p w:rsidR="001E024D" w:rsidRPr="00945927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</w:rPr>
      </w:pPr>
      <w:r w:rsidRPr="00945927">
        <w:rPr>
          <w:rFonts w:ascii="Times New Roman" w:hAnsi="Times New Roman" w:cs="Times New Roman"/>
          <w:b/>
          <w:bCs/>
        </w:rPr>
        <w:t>Sub</w:t>
      </w:r>
      <w:r>
        <w:rPr>
          <w:rFonts w:ascii="Times New Roman" w:hAnsi="Times New Roman" w:cs="Times New Roman"/>
          <w:b/>
          <w:bCs/>
        </w:rPr>
        <w:t>chapter 2 – Educational Program</w:t>
      </w:r>
    </w:p>
    <w:p w:rsidR="001E024D" w:rsidRPr="00945927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  <w:b/>
          <w:bCs/>
          <w:strike/>
        </w:rPr>
      </w:pPr>
      <w:r w:rsidRPr="00945927">
        <w:rPr>
          <w:rFonts w:ascii="Times New Roman" w:hAnsi="Times New Roman" w:cs="Times New Roman"/>
          <w:b/>
          <w:bCs/>
          <w:strike/>
        </w:rPr>
        <w:t xml:space="preserve">Article 9 – Lower-Division Transfer Patterns by Major </w:t>
      </w:r>
    </w:p>
    <w:p w:rsidR="001E024D" w:rsidRDefault="001E024D" w:rsidP="001E024D">
      <w:pPr>
        <w:shd w:val="clear" w:color="auto" w:fill="FFFFFF"/>
        <w:ind w:left="450"/>
        <w:jc w:val="center"/>
        <w:rPr>
          <w:b/>
          <w:strike/>
          <w:color w:val="252525"/>
        </w:rPr>
      </w:pPr>
      <w:r w:rsidRPr="004108F5">
        <w:rPr>
          <w:b/>
          <w:strike/>
          <w:color w:val="252525"/>
        </w:rPr>
        <w:t>§ 40531. Development of Systemwide Lower-Division Transfer Patterns by Major.</w:t>
      </w:r>
    </w:p>
    <w:p w:rsidR="001E024D" w:rsidRPr="004108F5" w:rsidRDefault="001E024D" w:rsidP="001E024D">
      <w:pPr>
        <w:shd w:val="clear" w:color="auto" w:fill="FFFFFF"/>
        <w:spacing w:line="360" w:lineRule="atLeast"/>
        <w:ind w:left="450"/>
        <w:jc w:val="center"/>
        <w:rPr>
          <w:b/>
          <w:strike/>
          <w:color w:val="252525"/>
        </w:rPr>
      </w:pPr>
    </w:p>
    <w:p w:rsidR="001E024D" w:rsidRPr="00945927" w:rsidRDefault="001E024D" w:rsidP="001E024D">
      <w:pPr>
        <w:shd w:val="clear" w:color="auto" w:fill="FFFFFF"/>
        <w:ind w:left="360" w:firstLine="360"/>
        <w:rPr>
          <w:strike/>
          <w:color w:val="212121"/>
        </w:rPr>
      </w:pPr>
      <w:r w:rsidRPr="00945927">
        <w:rPr>
          <w:strike/>
          <w:color w:val="212121"/>
        </w:rPr>
        <w:t xml:space="preserve">(a) A systemwide lower-division transfer pattern by major </w:t>
      </w:r>
      <w:proofErr w:type="gramStart"/>
      <w:r w:rsidRPr="00945927">
        <w:rPr>
          <w:strike/>
          <w:color w:val="212121"/>
        </w:rPr>
        <w:t>shall be established</w:t>
      </w:r>
      <w:proofErr w:type="gramEnd"/>
      <w:r w:rsidRPr="00945927">
        <w:rPr>
          <w:strike/>
          <w:color w:val="212121"/>
        </w:rPr>
        <w:t xml:space="preserve"> for each high-priority major. The Chancellor, in consultation with the Academic Senate of the California State University, shall develop procedures for establishing systemwide lower-</w:t>
      </w:r>
      <w:r w:rsidRPr="00945927">
        <w:rPr>
          <w:strike/>
          <w:color w:val="212121"/>
        </w:rPr>
        <w:lastRenderedPageBreak/>
        <w:t>division transfer patterns by major. The procedures shall include extensive participation of faculty members in the major. The procedures shall encourage the development of systemwide lower-division transfer patterns by major that are consistent with, but not necessarily identical to, the recommended lower-division course-taking patterns of CSU first-time freshmen.</w:t>
      </w:r>
    </w:p>
    <w:p w:rsidR="001E024D" w:rsidRPr="00945927" w:rsidRDefault="001E024D" w:rsidP="001E024D">
      <w:pPr>
        <w:shd w:val="clear" w:color="auto" w:fill="FFFFFF"/>
        <w:ind w:left="360" w:firstLine="360"/>
        <w:rPr>
          <w:strike/>
          <w:color w:val="212121"/>
        </w:rPr>
      </w:pPr>
      <w:r w:rsidRPr="00945927">
        <w:rPr>
          <w:strike/>
          <w:color w:val="212121"/>
        </w:rPr>
        <w:t>(b) If a degree and major frequently incorporate options or concentrations that would individually meet the criteria established for high-priority majors, the procedures shall allow for the development of a distinct systemwide lower-division transfer pattern by major for each of those common options or concentrations.</w:t>
      </w:r>
    </w:p>
    <w:p w:rsidR="001E024D" w:rsidRPr="00945927" w:rsidRDefault="001E024D" w:rsidP="001E024D">
      <w:pPr>
        <w:shd w:val="clear" w:color="auto" w:fill="FFFFFF"/>
        <w:ind w:left="360"/>
        <w:rPr>
          <w:strike/>
          <w:color w:val="212121"/>
        </w:rPr>
      </w:pPr>
      <w:r w:rsidRPr="00945927">
        <w:rPr>
          <w:strike/>
          <w:color w:val="212121"/>
        </w:rPr>
        <w:t xml:space="preserve">Note: Authority </w:t>
      </w:r>
      <w:proofErr w:type="gramStart"/>
      <w:r w:rsidRPr="00945927">
        <w:rPr>
          <w:strike/>
          <w:color w:val="212121"/>
        </w:rPr>
        <w:t>cited:</w:t>
      </w:r>
      <w:proofErr w:type="gramEnd"/>
      <w:r w:rsidRPr="00945927">
        <w:rPr>
          <w:strike/>
          <w:color w:val="212121"/>
        </w:rPr>
        <w:t xml:space="preserve"> Section 89030, Education Code. Reference: Section 89030, Education Code.</w:t>
      </w:r>
    </w:p>
    <w:p w:rsidR="001E024D" w:rsidRDefault="001E024D" w:rsidP="001E024D">
      <w:pPr>
        <w:spacing w:line="259" w:lineRule="auto"/>
        <w:ind w:left="360"/>
        <w:rPr>
          <w:rFonts w:eastAsia="Calibri"/>
          <w:strike/>
        </w:rPr>
      </w:pPr>
    </w:p>
    <w:p w:rsidR="001E024D" w:rsidRDefault="001E024D" w:rsidP="001E024D">
      <w:pPr>
        <w:spacing w:line="259" w:lineRule="auto"/>
        <w:ind w:left="450"/>
        <w:rPr>
          <w:rFonts w:eastAsia="Calibri"/>
          <w:strike/>
        </w:rPr>
      </w:pPr>
    </w:p>
    <w:p w:rsidR="001E024D" w:rsidRDefault="001E024D" w:rsidP="001E024D">
      <w:pPr>
        <w:spacing w:line="259" w:lineRule="auto"/>
        <w:ind w:left="450"/>
        <w:rPr>
          <w:rFonts w:eastAsia="Calibri"/>
          <w:strike/>
        </w:rPr>
      </w:pPr>
    </w:p>
    <w:p w:rsidR="001E024D" w:rsidRPr="00945927" w:rsidRDefault="001E024D" w:rsidP="001E024D">
      <w:pPr>
        <w:spacing w:line="259" w:lineRule="auto"/>
        <w:ind w:left="450"/>
        <w:rPr>
          <w:rFonts w:eastAsia="Calibri"/>
          <w:strike/>
        </w:rPr>
      </w:pPr>
    </w:p>
    <w:p w:rsidR="001E024D" w:rsidRDefault="001E024D" w:rsidP="001E024D">
      <w:pPr>
        <w:pStyle w:val="Default"/>
        <w:tabs>
          <w:tab w:val="left" w:pos="8190"/>
        </w:tabs>
        <w:ind w:left="4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5, California Code of Regulations</w:t>
      </w:r>
    </w:p>
    <w:p w:rsidR="001E024D" w:rsidRPr="00042CC2" w:rsidRDefault="001E024D" w:rsidP="001E024D">
      <w:pPr>
        <w:ind w:left="450"/>
        <w:jc w:val="center"/>
        <w:rPr>
          <w:b/>
        </w:rPr>
      </w:pPr>
      <w:r w:rsidRPr="00042CC2">
        <w:rPr>
          <w:b/>
        </w:rPr>
        <w:t>Division 5</w:t>
      </w:r>
      <w:r w:rsidRPr="003D04A2">
        <w:rPr>
          <w:b/>
          <w:bCs/>
        </w:rPr>
        <w:t xml:space="preserve"> – </w:t>
      </w:r>
      <w:r w:rsidRPr="00042CC2">
        <w:rPr>
          <w:b/>
        </w:rPr>
        <w:t>Board of Trustees of the California State Universities</w:t>
      </w:r>
    </w:p>
    <w:p w:rsidR="001E024D" w:rsidRPr="00945927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</w:rPr>
      </w:pPr>
      <w:r w:rsidRPr="00945927">
        <w:rPr>
          <w:rFonts w:ascii="Times New Roman" w:hAnsi="Times New Roman" w:cs="Times New Roman"/>
          <w:b/>
          <w:bCs/>
        </w:rPr>
        <w:t>Chapter 1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945927">
        <w:rPr>
          <w:rFonts w:ascii="Times New Roman" w:hAnsi="Times New Roman" w:cs="Times New Roman"/>
          <w:b/>
          <w:bCs/>
        </w:rPr>
        <w:t xml:space="preserve">California State University </w:t>
      </w:r>
    </w:p>
    <w:p w:rsidR="001E024D" w:rsidRPr="00945927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</w:rPr>
      </w:pPr>
      <w:r w:rsidRPr="00945927">
        <w:rPr>
          <w:rFonts w:ascii="Times New Roman" w:hAnsi="Times New Roman" w:cs="Times New Roman"/>
          <w:b/>
          <w:bCs/>
        </w:rPr>
        <w:t>Sub</w:t>
      </w:r>
      <w:r>
        <w:rPr>
          <w:rFonts w:ascii="Times New Roman" w:hAnsi="Times New Roman" w:cs="Times New Roman"/>
          <w:b/>
          <w:bCs/>
        </w:rPr>
        <w:t>chapter 2 – Educational Program</w:t>
      </w:r>
    </w:p>
    <w:p w:rsidR="001E024D" w:rsidRPr="00945927" w:rsidRDefault="001E024D" w:rsidP="001E024D">
      <w:pPr>
        <w:pStyle w:val="Default"/>
        <w:ind w:left="450"/>
        <w:jc w:val="center"/>
        <w:rPr>
          <w:rFonts w:ascii="Times New Roman" w:hAnsi="Times New Roman" w:cs="Times New Roman"/>
          <w:b/>
          <w:bCs/>
          <w:strike/>
        </w:rPr>
      </w:pPr>
      <w:r w:rsidRPr="00945927">
        <w:rPr>
          <w:rFonts w:ascii="Times New Roman" w:hAnsi="Times New Roman" w:cs="Times New Roman"/>
          <w:b/>
          <w:bCs/>
          <w:strike/>
        </w:rPr>
        <w:t xml:space="preserve">Article 9 – Lower-Division Transfer Patterns by Major </w:t>
      </w:r>
    </w:p>
    <w:p w:rsidR="001E024D" w:rsidRDefault="001E024D" w:rsidP="001E024D">
      <w:pPr>
        <w:shd w:val="clear" w:color="auto" w:fill="FFFFFF"/>
        <w:spacing w:line="360" w:lineRule="atLeast"/>
        <w:ind w:left="450"/>
        <w:jc w:val="center"/>
        <w:rPr>
          <w:b/>
          <w:strike/>
          <w:color w:val="252525"/>
        </w:rPr>
      </w:pPr>
      <w:r w:rsidRPr="004108F5">
        <w:rPr>
          <w:b/>
          <w:strike/>
          <w:color w:val="252525"/>
        </w:rPr>
        <w:t>§ 40532. Development of Campus-Specific Lower-Division Transfer Patterns by Major.</w:t>
      </w:r>
    </w:p>
    <w:p w:rsidR="001E024D" w:rsidRPr="004108F5" w:rsidRDefault="001E024D" w:rsidP="001E024D">
      <w:pPr>
        <w:shd w:val="clear" w:color="auto" w:fill="FFFFFF"/>
        <w:spacing w:line="360" w:lineRule="atLeast"/>
        <w:ind w:left="450"/>
        <w:jc w:val="center"/>
        <w:rPr>
          <w:b/>
          <w:strike/>
          <w:color w:val="252525"/>
        </w:rPr>
      </w:pPr>
    </w:p>
    <w:p w:rsidR="001E024D" w:rsidRPr="00945927" w:rsidRDefault="001E024D" w:rsidP="001E024D">
      <w:pPr>
        <w:shd w:val="clear" w:color="auto" w:fill="FFFFFF"/>
        <w:ind w:left="360"/>
        <w:rPr>
          <w:strike/>
          <w:color w:val="212121"/>
        </w:rPr>
      </w:pPr>
      <w:r w:rsidRPr="00945927">
        <w:rPr>
          <w:strike/>
          <w:color w:val="212121"/>
        </w:rPr>
        <w:t xml:space="preserve">Each CSU campus shall develop a campus-specific lower-division transfer pattern by major for each high-priority major it offers. The number of semester units in the systemwide lower-division transfer pattern by major plus the number of semester units in the campus-specific lower-division transfer pattern by major shall be no fewer than 60 and no more than 70. The procedures shall encourage the development of campus-specific lower-division transfer patterns by major that, in combination with the corresponding systemwide lower-division transfer patterns by </w:t>
      </w:r>
      <w:proofErr w:type="gramStart"/>
      <w:r w:rsidRPr="00945927">
        <w:rPr>
          <w:strike/>
          <w:color w:val="212121"/>
        </w:rPr>
        <w:t>major,</w:t>
      </w:r>
      <w:proofErr w:type="gramEnd"/>
      <w:r w:rsidRPr="00945927">
        <w:rPr>
          <w:strike/>
          <w:color w:val="212121"/>
        </w:rPr>
        <w:t xml:space="preserve"> are consistent with, but not necessarily identical to, the recommended lower-division course-taking patterns of CSU first-time freshmen.</w:t>
      </w:r>
    </w:p>
    <w:p w:rsidR="001E024D" w:rsidRPr="00CE340C" w:rsidRDefault="001E024D" w:rsidP="001E024D">
      <w:pPr>
        <w:shd w:val="clear" w:color="auto" w:fill="FFFFFF"/>
        <w:ind w:left="360"/>
        <w:rPr>
          <w:strike/>
          <w:color w:val="212121"/>
        </w:rPr>
      </w:pPr>
      <w:r w:rsidRPr="00945927">
        <w:rPr>
          <w:strike/>
          <w:color w:val="212121"/>
        </w:rPr>
        <w:t xml:space="preserve">Note: Authority </w:t>
      </w:r>
      <w:proofErr w:type="gramStart"/>
      <w:r w:rsidRPr="00945927">
        <w:rPr>
          <w:strike/>
          <w:color w:val="212121"/>
        </w:rPr>
        <w:t>cited:</w:t>
      </w:r>
      <w:proofErr w:type="gramEnd"/>
      <w:r w:rsidRPr="00945927">
        <w:rPr>
          <w:strike/>
          <w:color w:val="212121"/>
        </w:rPr>
        <w:t xml:space="preserve"> Section 89030, Education Code. Reference: Section 89030, Education Code.</w:t>
      </w:r>
    </w:p>
    <w:p w:rsidR="00B11AA5" w:rsidRDefault="00B11AA5">
      <w:bookmarkStart w:id="0" w:name="_GoBack"/>
      <w:bookmarkEnd w:id="0"/>
    </w:p>
    <w:sectPr w:rsidR="00B1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D3"/>
    <w:rsid w:val="001E024D"/>
    <w:rsid w:val="002A38D3"/>
    <w:rsid w:val="00B1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64201-0769-44EF-BE74-FC7769A4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24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2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72WVDYXX2UNK-1478731376-18</_dlc_DocId>
    <_dlc_DocIdUrl xmlns="30355ef0-b855-4ebb-a92a-a6c79f7573fd">
      <Url>https://update.calstate.edu/csu-system/board-of-trustees/_layouts/15/DocIdRedir.aspx?ID=72WVDYXX2UNK-1478731376-18</Url>
      <Description>72WVDYXX2UNK-1478731376-18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E870F-6D55-4958-9E05-ABD4E21C86DB}"/>
</file>

<file path=customXml/itemProps2.xml><?xml version="1.0" encoding="utf-8"?>
<ds:datastoreItem xmlns:ds="http://schemas.openxmlformats.org/officeDocument/2006/customXml" ds:itemID="{3CC104FA-AE10-4839-85A1-198727F91A08}"/>
</file>

<file path=customXml/itemProps3.xml><?xml version="1.0" encoding="utf-8"?>
<ds:datastoreItem xmlns:ds="http://schemas.openxmlformats.org/officeDocument/2006/customXml" ds:itemID="{AF03131B-4456-40AE-B348-B0346FDE6AFA}"/>
</file>

<file path=customXml/itemProps4.xml><?xml version="1.0" encoding="utf-8"?>
<ds:datastoreItem xmlns:ds="http://schemas.openxmlformats.org/officeDocument/2006/customXml" ds:itemID="{2A0D0BD7-5B36-46B4-8955-5C66916F0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Company>CSU Office of the Chancellor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Mallon, Christine</dc:creator>
  <cp:keywords/>
  <dc:description/>
  <cp:lastModifiedBy>Mallon, Christine</cp:lastModifiedBy>
  <cp:revision>2</cp:revision>
  <dcterms:created xsi:type="dcterms:W3CDTF">2017-03-26T00:33:00Z</dcterms:created>
  <dcterms:modified xsi:type="dcterms:W3CDTF">2017-03-26T00:33:00Z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0x0101006B4CE8E9565F9B4A9CBDF2B0C151C17F</vt:lpwstr>
  </property>
  <property fmtid="{D5CDD505-2E9C-101B-9397-08002B2CF9AE}" pid="3" name="_dlc_DocIdItemGuid">
    <vt:lpwstr>f1a5fcd8-e376-4bae-beff-95473fcdb01f</vt:lpwstr>
  </property>
</Properties>
</file>